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05C" w:rsidRDefault="0025405C" w:rsidP="008B72CE">
      <w:pPr>
        <w:snapToGrid w:val="0"/>
        <w:jc w:val="center"/>
        <w:rPr>
          <w:rFonts w:ascii="Times New Roman" w:hAnsi="Times New Roman"/>
          <w:b/>
          <w:sz w:val="24"/>
          <w:szCs w:val="24"/>
        </w:rPr>
      </w:pPr>
      <w:r w:rsidRPr="0025405C">
        <w:rPr>
          <w:rFonts w:ascii="Times New Roman" w:hAnsi="Times New Roman"/>
          <w:b/>
          <w:sz w:val="24"/>
          <w:szCs w:val="24"/>
        </w:rPr>
        <w:t>Response to FCC Questions Regarding the HPT TBD Earth Station JCSAT-2B Schedule S</w:t>
      </w:r>
    </w:p>
    <w:p w:rsidR="008B72CE" w:rsidRPr="0025405C" w:rsidRDefault="008B72CE" w:rsidP="008B72CE">
      <w:pPr>
        <w:snapToGrid w:val="0"/>
        <w:jc w:val="center"/>
        <w:rPr>
          <w:rFonts w:ascii="Times New Roman" w:hAnsi="Times New Roman"/>
          <w:b/>
          <w:sz w:val="24"/>
          <w:szCs w:val="24"/>
        </w:rPr>
      </w:pPr>
      <w:r>
        <w:rPr>
          <w:rFonts w:ascii="Times New Roman" w:hAnsi="Times New Roman"/>
          <w:b/>
          <w:sz w:val="24"/>
          <w:szCs w:val="24"/>
        </w:rPr>
        <w:t xml:space="preserve">Email from Paul </w:t>
      </w:r>
      <w:proofErr w:type="spellStart"/>
      <w:r>
        <w:rPr>
          <w:rFonts w:ascii="Times New Roman" w:hAnsi="Times New Roman"/>
          <w:b/>
          <w:sz w:val="24"/>
          <w:szCs w:val="24"/>
        </w:rPr>
        <w:t>Blais</w:t>
      </w:r>
      <w:proofErr w:type="spellEnd"/>
      <w:r>
        <w:rPr>
          <w:rFonts w:ascii="Times New Roman" w:hAnsi="Times New Roman"/>
          <w:b/>
          <w:sz w:val="24"/>
          <w:szCs w:val="24"/>
        </w:rPr>
        <w:t>, May 12, 2016</w:t>
      </w:r>
    </w:p>
    <w:p w:rsidR="0025405C" w:rsidRPr="0025405C" w:rsidRDefault="0025405C" w:rsidP="008B72CE">
      <w:pPr>
        <w:snapToGrid w:val="0"/>
        <w:ind w:left="360"/>
        <w:jc w:val="center"/>
        <w:rPr>
          <w:rFonts w:ascii="Times New Roman" w:hAnsi="Times New Roman"/>
        </w:rPr>
      </w:pPr>
    </w:p>
    <w:p w:rsidR="00B857A7" w:rsidRPr="009D0C7C" w:rsidRDefault="00B857A7" w:rsidP="00B857A7">
      <w:pPr>
        <w:numPr>
          <w:ilvl w:val="0"/>
          <w:numId w:val="1"/>
        </w:numPr>
        <w:snapToGrid w:val="0"/>
        <w:rPr>
          <w:rFonts w:ascii="Times New Roman" w:hAnsi="Times New Roman"/>
        </w:rPr>
      </w:pPr>
      <w:r w:rsidRPr="009D0C7C">
        <w:rPr>
          <w:rFonts w:ascii="Times New Roman" w:hAnsi="Times New Roman"/>
          <w:sz w:val="24"/>
          <w:szCs w:val="24"/>
        </w:rPr>
        <w:t>HPT did not submit the link noise budgets in Item S13(g) of Schedule S, as required by Section 25.140(a) of the Commission’s rules.</w:t>
      </w:r>
    </w:p>
    <w:p w:rsidR="00B857A7" w:rsidRPr="009D0C7C" w:rsidRDefault="00B857A7" w:rsidP="00B857A7">
      <w:pPr>
        <w:snapToGrid w:val="0"/>
        <w:rPr>
          <w:rFonts w:ascii="Times New Roman" w:hAnsi="Times New Roman"/>
          <w:sz w:val="24"/>
          <w:szCs w:val="24"/>
        </w:rPr>
      </w:pPr>
    </w:p>
    <w:p w:rsidR="00B857A7" w:rsidRPr="009D0C7C" w:rsidRDefault="00B857A7" w:rsidP="00B857A7">
      <w:pPr>
        <w:snapToGrid w:val="0"/>
        <w:rPr>
          <w:rFonts w:ascii="Times New Roman" w:hAnsi="Times New Roman"/>
          <w:color w:val="FF0000"/>
        </w:rPr>
      </w:pPr>
      <w:r w:rsidRPr="009D0C7C">
        <w:rPr>
          <w:rFonts w:ascii="Times New Roman" w:hAnsi="Times New Roman"/>
          <w:color w:val="FF0000"/>
          <w:sz w:val="24"/>
          <w:szCs w:val="24"/>
        </w:rPr>
        <w:t xml:space="preserve">Response:  </w:t>
      </w:r>
      <w:r w:rsidR="00CE540C">
        <w:rPr>
          <w:rFonts w:ascii="Times New Roman" w:hAnsi="Times New Roman"/>
          <w:color w:val="FF0000"/>
          <w:sz w:val="24"/>
          <w:szCs w:val="24"/>
        </w:rPr>
        <w:t xml:space="preserve">See </w:t>
      </w:r>
      <w:r w:rsidR="00033493">
        <w:rPr>
          <w:rFonts w:ascii="Times New Roman" w:hAnsi="Times New Roman"/>
          <w:color w:val="FF0000"/>
          <w:sz w:val="24"/>
          <w:szCs w:val="24"/>
        </w:rPr>
        <w:t xml:space="preserve">Appendix B of </w:t>
      </w:r>
      <w:r w:rsidR="004205A9">
        <w:rPr>
          <w:rFonts w:ascii="Times New Roman" w:hAnsi="Times New Roman"/>
          <w:color w:val="FF0000"/>
          <w:sz w:val="24"/>
          <w:szCs w:val="24"/>
        </w:rPr>
        <w:t>“</w:t>
      </w:r>
      <w:r w:rsidR="00033493">
        <w:rPr>
          <w:rFonts w:ascii="Times New Roman" w:hAnsi="Times New Roman"/>
          <w:color w:val="FF0000"/>
          <w:sz w:val="24"/>
          <w:szCs w:val="24"/>
        </w:rPr>
        <w:t>J</w:t>
      </w:r>
      <w:r w:rsidR="00840251">
        <w:rPr>
          <w:rFonts w:ascii="Times New Roman" w:hAnsi="Times New Roman"/>
          <w:color w:val="FF0000"/>
          <w:sz w:val="24"/>
          <w:szCs w:val="24"/>
        </w:rPr>
        <w:t>SAT-</w:t>
      </w:r>
      <w:r w:rsidR="00033493">
        <w:rPr>
          <w:rFonts w:ascii="Times New Roman" w:hAnsi="Times New Roman"/>
          <w:color w:val="FF0000"/>
          <w:sz w:val="24"/>
          <w:szCs w:val="24"/>
        </w:rPr>
        <w:t>2B Additional</w:t>
      </w:r>
      <w:r w:rsidR="00840251">
        <w:rPr>
          <w:rFonts w:ascii="Times New Roman" w:hAnsi="Times New Roman"/>
          <w:color w:val="FF0000"/>
          <w:sz w:val="24"/>
          <w:szCs w:val="24"/>
        </w:rPr>
        <w:t xml:space="preserve"> Technical </w:t>
      </w:r>
      <w:r w:rsidR="00033493">
        <w:rPr>
          <w:rFonts w:ascii="Times New Roman" w:hAnsi="Times New Roman"/>
          <w:color w:val="FF0000"/>
          <w:sz w:val="24"/>
          <w:szCs w:val="24"/>
        </w:rPr>
        <w:t>Information.</w:t>
      </w:r>
      <w:r w:rsidR="004205A9">
        <w:rPr>
          <w:rFonts w:ascii="Times New Roman" w:hAnsi="Times New Roman"/>
          <w:color w:val="FF0000"/>
          <w:sz w:val="24"/>
          <w:szCs w:val="24"/>
        </w:rPr>
        <w:t>”</w:t>
      </w:r>
      <w:r w:rsidR="00033493">
        <w:rPr>
          <w:rFonts w:ascii="Times New Roman" w:hAnsi="Times New Roman"/>
          <w:color w:val="FF0000"/>
          <w:sz w:val="24"/>
          <w:szCs w:val="24"/>
        </w:rPr>
        <w:t xml:space="preserve"> </w:t>
      </w:r>
      <w:r w:rsidR="00CE540C">
        <w:rPr>
          <w:rFonts w:ascii="Times New Roman" w:hAnsi="Times New Roman"/>
          <w:color w:val="FF0000"/>
          <w:sz w:val="24"/>
          <w:szCs w:val="24"/>
        </w:rPr>
        <w:t xml:space="preserve">It contains </w:t>
      </w:r>
      <w:r w:rsidR="00033493">
        <w:rPr>
          <w:rFonts w:ascii="Times New Roman" w:hAnsi="Times New Roman"/>
          <w:color w:val="FF0000"/>
          <w:sz w:val="24"/>
          <w:szCs w:val="24"/>
        </w:rPr>
        <w:t>Ku-</w:t>
      </w:r>
      <w:r w:rsidR="004205A9">
        <w:rPr>
          <w:rFonts w:ascii="Times New Roman" w:hAnsi="Times New Roman"/>
          <w:color w:val="FF0000"/>
          <w:sz w:val="24"/>
          <w:szCs w:val="24"/>
        </w:rPr>
        <w:t>band and</w:t>
      </w:r>
      <w:r w:rsidR="00033493">
        <w:rPr>
          <w:rFonts w:ascii="Times New Roman" w:hAnsi="Times New Roman"/>
          <w:color w:val="FF0000"/>
          <w:sz w:val="24"/>
          <w:szCs w:val="24"/>
        </w:rPr>
        <w:t xml:space="preserve"> C</w:t>
      </w:r>
      <w:r w:rsidR="00CE540C">
        <w:rPr>
          <w:rFonts w:ascii="Times New Roman" w:hAnsi="Times New Roman"/>
          <w:color w:val="FF0000"/>
          <w:sz w:val="24"/>
          <w:szCs w:val="24"/>
        </w:rPr>
        <w:t>-band link analys</w:t>
      </w:r>
      <w:r w:rsidR="00033493">
        <w:rPr>
          <w:rFonts w:ascii="Times New Roman" w:hAnsi="Times New Roman"/>
          <w:color w:val="FF0000"/>
          <w:sz w:val="24"/>
          <w:szCs w:val="24"/>
        </w:rPr>
        <w:t>e</w:t>
      </w:r>
      <w:r w:rsidR="00CE540C">
        <w:rPr>
          <w:rFonts w:ascii="Times New Roman" w:hAnsi="Times New Roman"/>
          <w:color w:val="FF0000"/>
          <w:sz w:val="24"/>
          <w:szCs w:val="24"/>
        </w:rPr>
        <w:t>s</w:t>
      </w:r>
      <w:r w:rsidR="004205A9">
        <w:rPr>
          <w:rFonts w:ascii="Times New Roman" w:hAnsi="Times New Roman"/>
          <w:color w:val="FF0000"/>
          <w:sz w:val="24"/>
          <w:szCs w:val="24"/>
        </w:rPr>
        <w:t xml:space="preserve">. </w:t>
      </w:r>
      <w:r w:rsidR="00840251">
        <w:rPr>
          <w:rFonts w:ascii="Times New Roman" w:hAnsi="Times New Roman"/>
          <w:color w:val="FF0000"/>
          <w:sz w:val="24"/>
          <w:szCs w:val="24"/>
        </w:rPr>
        <w:t xml:space="preserve"> The Schedule S, S13, </w:t>
      </w:r>
      <w:r w:rsidR="004205A9">
        <w:rPr>
          <w:rFonts w:ascii="Times New Roman" w:hAnsi="Times New Roman"/>
          <w:color w:val="FF0000"/>
          <w:sz w:val="24"/>
          <w:szCs w:val="24"/>
        </w:rPr>
        <w:t>refer</w:t>
      </w:r>
      <w:r w:rsidR="00840251">
        <w:rPr>
          <w:rFonts w:ascii="Times New Roman" w:hAnsi="Times New Roman"/>
          <w:color w:val="FF0000"/>
          <w:sz w:val="24"/>
          <w:szCs w:val="24"/>
        </w:rPr>
        <w:t>s</w:t>
      </w:r>
      <w:r w:rsidR="004205A9">
        <w:rPr>
          <w:rFonts w:ascii="Times New Roman" w:hAnsi="Times New Roman"/>
          <w:color w:val="FF0000"/>
          <w:sz w:val="24"/>
          <w:szCs w:val="24"/>
        </w:rPr>
        <w:t xml:space="preserve"> to the four Ku-band carriers identified in the Link Analysis.</w:t>
      </w:r>
    </w:p>
    <w:p w:rsidR="00B857A7" w:rsidRPr="009D0C7C" w:rsidRDefault="00B857A7" w:rsidP="00B857A7">
      <w:pPr>
        <w:ind w:left="720"/>
        <w:rPr>
          <w:rFonts w:ascii="Times New Roman" w:hAnsi="Times New Roman"/>
        </w:rPr>
      </w:pPr>
      <w:r w:rsidRPr="009D0C7C">
        <w:rPr>
          <w:rFonts w:ascii="Times New Roman" w:hAnsi="Times New Roman"/>
          <w:sz w:val="24"/>
          <w:szCs w:val="24"/>
        </w:rPr>
        <w:t> </w:t>
      </w:r>
    </w:p>
    <w:p w:rsidR="00B857A7" w:rsidRPr="009D0C7C" w:rsidRDefault="00B857A7" w:rsidP="00B857A7">
      <w:pPr>
        <w:numPr>
          <w:ilvl w:val="0"/>
          <w:numId w:val="1"/>
        </w:numPr>
        <w:snapToGrid w:val="0"/>
        <w:rPr>
          <w:rFonts w:ascii="Times New Roman" w:hAnsi="Times New Roman"/>
        </w:rPr>
      </w:pPr>
      <w:r w:rsidRPr="009D0C7C">
        <w:rPr>
          <w:rFonts w:ascii="Times New Roman" w:hAnsi="Times New Roman"/>
          <w:sz w:val="24"/>
          <w:szCs w:val="24"/>
        </w:rPr>
        <w:t>HPT indicated that it will maintain JCSAT-2B within +/- 0.1° degrees of its assigned orbital location in Paragraph 8(a) of “Additional Space Station Information Required by 25.114(d)” and in Item S3a of Schedule S.  Section 25.210(j) of the Commission’s rules, however, requires space stations to be maintained within +/- 0.05° degrees of their assigned orbital location unless specifically authorized by the Commission to operate at a different longitude tolerance.</w:t>
      </w:r>
    </w:p>
    <w:p w:rsidR="00B857A7" w:rsidRPr="009D0C7C" w:rsidRDefault="00B857A7" w:rsidP="00B857A7">
      <w:pPr>
        <w:snapToGrid w:val="0"/>
        <w:rPr>
          <w:rFonts w:ascii="Times New Roman" w:hAnsi="Times New Roman"/>
          <w:sz w:val="24"/>
          <w:szCs w:val="24"/>
        </w:rPr>
      </w:pPr>
    </w:p>
    <w:p w:rsidR="00DA0950" w:rsidRPr="00DA0950" w:rsidRDefault="00B857A7" w:rsidP="00DA0950">
      <w:pPr>
        <w:rPr>
          <w:rFonts w:ascii="Times New Roman" w:hAnsi="Times New Roman"/>
          <w:color w:val="FF0000"/>
          <w:sz w:val="24"/>
          <w:szCs w:val="24"/>
        </w:rPr>
      </w:pPr>
      <w:r w:rsidRPr="00DA0950">
        <w:rPr>
          <w:rFonts w:ascii="Times New Roman" w:hAnsi="Times New Roman"/>
          <w:color w:val="FF0000"/>
          <w:sz w:val="24"/>
          <w:szCs w:val="24"/>
        </w:rPr>
        <w:t xml:space="preserve">Response: </w:t>
      </w:r>
      <w:bookmarkStart w:id="0" w:name="_GoBack"/>
      <w:r w:rsidR="00DA0950" w:rsidRPr="00DA0950">
        <w:rPr>
          <w:rFonts w:ascii="Times New Roman" w:hAnsi="Times New Roman"/>
          <w:color w:val="FF0000"/>
          <w:sz w:val="24"/>
          <w:szCs w:val="24"/>
        </w:rPr>
        <w:t>JSAT will operate JSAT-2B within +/-0.05 degree station-keeping.  There is the possibility that the operation would exceed that range in the case of an</w:t>
      </w:r>
      <w:r w:rsidR="00DA0950" w:rsidRPr="00DA0950">
        <w:rPr>
          <w:rFonts w:ascii="Times New Roman" w:hAnsi="Times New Roman"/>
          <w:bCs/>
          <w:color w:val="FF0000"/>
          <w:sz w:val="24"/>
          <w:szCs w:val="24"/>
        </w:rPr>
        <w:t xml:space="preserve"> emergency situation such as the avoidance of debris.</w:t>
      </w:r>
      <w:r w:rsidR="00DA0950" w:rsidRPr="00DA0950">
        <w:rPr>
          <w:rFonts w:ascii="Times New Roman" w:hAnsi="Times New Roman"/>
          <w:color w:val="FF0000"/>
          <w:sz w:val="24"/>
          <w:szCs w:val="24"/>
        </w:rPr>
        <w:t>  In an event requiring a maneuver to avoid debris or any other unforeseen threat, the space craft station-keeping volume is not expected to exceed ±0.10°.</w:t>
      </w:r>
      <w:bookmarkEnd w:id="0"/>
    </w:p>
    <w:p w:rsidR="00DA0950" w:rsidRPr="00DA0950" w:rsidRDefault="00DA0950" w:rsidP="00DA0950">
      <w:pPr>
        <w:rPr>
          <w:rFonts w:ascii="Times New Roman" w:hAnsi="Times New Roman"/>
          <w:color w:val="FF0000"/>
          <w:sz w:val="24"/>
          <w:szCs w:val="24"/>
        </w:rPr>
      </w:pPr>
    </w:p>
    <w:p w:rsidR="004205A9" w:rsidRDefault="00033493" w:rsidP="00DA0950">
      <w:pPr>
        <w:snapToGrid w:val="0"/>
        <w:rPr>
          <w:rFonts w:ascii="Times New Roman" w:hAnsi="Times New Roman"/>
          <w:i/>
          <w:color w:val="FF0000"/>
          <w:sz w:val="24"/>
        </w:rPr>
      </w:pPr>
      <w:r w:rsidRPr="00DA0950">
        <w:rPr>
          <w:rFonts w:ascii="Times New Roman" w:hAnsi="Times New Roman"/>
          <w:color w:val="FF0000"/>
          <w:sz w:val="24"/>
          <w:szCs w:val="24"/>
        </w:rPr>
        <w:t xml:space="preserve"> </w:t>
      </w:r>
    </w:p>
    <w:p w:rsidR="00B857A7" w:rsidRPr="009D0C7C" w:rsidRDefault="00B857A7" w:rsidP="00B857A7">
      <w:pPr>
        <w:numPr>
          <w:ilvl w:val="0"/>
          <w:numId w:val="1"/>
        </w:numPr>
        <w:snapToGrid w:val="0"/>
        <w:rPr>
          <w:rFonts w:ascii="Times New Roman" w:hAnsi="Times New Roman"/>
        </w:rPr>
      </w:pPr>
      <w:r w:rsidRPr="009D0C7C">
        <w:rPr>
          <w:rFonts w:ascii="Times New Roman" w:hAnsi="Times New Roman"/>
          <w:sz w:val="24"/>
          <w:szCs w:val="24"/>
        </w:rPr>
        <w:t>In Paragraph 7 of “Additional space station information required by 25.114(d),” HPT noted that “Attachments 1 and 2 set forth the detailed interference analysis and compliance requirement.”  However, neither document was attached.</w:t>
      </w:r>
    </w:p>
    <w:p w:rsidR="00B857A7" w:rsidRPr="009D0C7C" w:rsidRDefault="00B857A7" w:rsidP="00B857A7">
      <w:pPr>
        <w:snapToGrid w:val="0"/>
        <w:rPr>
          <w:rFonts w:ascii="Times New Roman" w:hAnsi="Times New Roman"/>
          <w:color w:val="FF0000"/>
          <w:sz w:val="24"/>
          <w:szCs w:val="24"/>
        </w:rPr>
      </w:pPr>
    </w:p>
    <w:p w:rsidR="00B857A7" w:rsidRPr="009D0C7C" w:rsidRDefault="00B857A7" w:rsidP="00B857A7">
      <w:pPr>
        <w:snapToGrid w:val="0"/>
        <w:rPr>
          <w:rFonts w:ascii="Times New Roman" w:hAnsi="Times New Roman"/>
          <w:color w:val="FF0000"/>
        </w:rPr>
      </w:pPr>
      <w:r w:rsidRPr="009D0C7C">
        <w:rPr>
          <w:rFonts w:ascii="Times New Roman" w:hAnsi="Times New Roman"/>
          <w:color w:val="FF0000"/>
          <w:sz w:val="24"/>
          <w:szCs w:val="24"/>
        </w:rPr>
        <w:t xml:space="preserve">Response:  </w:t>
      </w:r>
      <w:r w:rsidR="006135FF">
        <w:rPr>
          <w:rFonts w:ascii="Times New Roman" w:hAnsi="Times New Roman"/>
          <w:color w:val="FF0000"/>
          <w:sz w:val="24"/>
          <w:szCs w:val="24"/>
        </w:rPr>
        <w:t xml:space="preserve">The link analyses are now attached as Appendix B of </w:t>
      </w:r>
      <w:r w:rsidR="00840251">
        <w:rPr>
          <w:rFonts w:ascii="Times New Roman" w:hAnsi="Times New Roman"/>
          <w:color w:val="FF0000"/>
          <w:sz w:val="24"/>
          <w:szCs w:val="24"/>
        </w:rPr>
        <w:t>the “Additional Technical Information”</w:t>
      </w:r>
      <w:r w:rsidR="006135FF">
        <w:rPr>
          <w:rFonts w:ascii="Times New Roman" w:hAnsi="Times New Roman"/>
          <w:color w:val="FF0000"/>
          <w:sz w:val="24"/>
          <w:szCs w:val="24"/>
        </w:rPr>
        <w:t xml:space="preserve"> document as noted above under Item 1. </w:t>
      </w:r>
    </w:p>
    <w:p w:rsidR="00B857A7" w:rsidRDefault="00B857A7" w:rsidP="00B857A7">
      <w:pPr>
        <w:rPr>
          <w:rFonts w:ascii="Times New Roman" w:hAnsi="Times New Roman"/>
          <w:sz w:val="24"/>
          <w:szCs w:val="24"/>
        </w:rPr>
      </w:pPr>
      <w:r w:rsidRPr="009D0C7C">
        <w:rPr>
          <w:rFonts w:ascii="Times New Roman" w:hAnsi="Times New Roman"/>
          <w:sz w:val="24"/>
          <w:szCs w:val="24"/>
        </w:rPr>
        <w:t> </w:t>
      </w:r>
    </w:p>
    <w:p w:rsidR="008B72CE" w:rsidRDefault="008B72CE" w:rsidP="00B857A7">
      <w:pPr>
        <w:rPr>
          <w:rFonts w:ascii="Times New Roman" w:hAnsi="Times New Roman"/>
          <w:sz w:val="24"/>
          <w:szCs w:val="24"/>
        </w:rPr>
      </w:pPr>
    </w:p>
    <w:p w:rsidR="008B72CE" w:rsidRPr="009D0C7C" w:rsidRDefault="008B72CE" w:rsidP="00B857A7">
      <w:pPr>
        <w:rPr>
          <w:rFonts w:ascii="Times New Roman" w:hAnsi="Times New Roman"/>
        </w:rPr>
      </w:pPr>
    </w:p>
    <w:p w:rsidR="009D0C7C" w:rsidRPr="009D0C7C" w:rsidRDefault="00B857A7" w:rsidP="00B857A7">
      <w:pPr>
        <w:numPr>
          <w:ilvl w:val="0"/>
          <w:numId w:val="1"/>
        </w:numPr>
        <w:snapToGrid w:val="0"/>
        <w:rPr>
          <w:rFonts w:ascii="Times New Roman" w:hAnsi="Times New Roman"/>
        </w:rPr>
      </w:pPr>
      <w:r w:rsidRPr="009D0C7C">
        <w:rPr>
          <w:rFonts w:ascii="Times New Roman" w:hAnsi="Times New Roman"/>
          <w:sz w:val="24"/>
          <w:szCs w:val="24"/>
        </w:rPr>
        <w:t xml:space="preserve">HPT must specify </w:t>
      </w:r>
    </w:p>
    <w:p w:rsidR="00B857A7" w:rsidRPr="009D0C7C" w:rsidRDefault="00B857A7" w:rsidP="009D0C7C">
      <w:pPr>
        <w:numPr>
          <w:ilvl w:val="1"/>
          <w:numId w:val="1"/>
        </w:numPr>
        <w:snapToGrid w:val="0"/>
        <w:rPr>
          <w:rFonts w:ascii="Times New Roman" w:hAnsi="Times New Roman"/>
        </w:rPr>
      </w:pPr>
      <w:r w:rsidRPr="009D0C7C">
        <w:rPr>
          <w:rFonts w:ascii="Times New Roman" w:hAnsi="Times New Roman"/>
          <w:sz w:val="24"/>
          <w:szCs w:val="24"/>
        </w:rPr>
        <w:t xml:space="preserve">maximum EIRP and maximum EIRP density for each space station transmitting and receiving antenna beams, </w:t>
      </w:r>
    </w:p>
    <w:p w:rsidR="009D0C7C" w:rsidRPr="009D0C7C" w:rsidRDefault="009D0C7C" w:rsidP="009D0C7C">
      <w:pPr>
        <w:snapToGrid w:val="0"/>
        <w:rPr>
          <w:rFonts w:ascii="Times New Roman" w:hAnsi="Times New Roman"/>
          <w:color w:val="FF0000"/>
          <w:sz w:val="24"/>
          <w:szCs w:val="24"/>
        </w:rPr>
      </w:pPr>
      <w:r w:rsidRPr="009D0C7C">
        <w:rPr>
          <w:rFonts w:ascii="Times New Roman" w:hAnsi="Times New Roman"/>
          <w:color w:val="FF0000"/>
          <w:sz w:val="24"/>
          <w:szCs w:val="24"/>
        </w:rPr>
        <w:t>Response: The Maximum EIRP for all transmit beams is shown in S7 item m.</w:t>
      </w:r>
    </w:p>
    <w:p w:rsidR="00B857A7" w:rsidRPr="009D0C7C" w:rsidRDefault="00B857A7" w:rsidP="00B857A7">
      <w:pPr>
        <w:snapToGrid w:val="0"/>
        <w:ind w:left="360"/>
        <w:rPr>
          <w:rFonts w:ascii="Times New Roman" w:hAnsi="Times New Roman"/>
        </w:rPr>
      </w:pPr>
    </w:p>
    <w:p w:rsidR="009D0C7C" w:rsidRPr="009D0C7C" w:rsidRDefault="00B857A7" w:rsidP="00B857A7">
      <w:pPr>
        <w:pStyle w:val="ListParagraph"/>
        <w:numPr>
          <w:ilvl w:val="0"/>
          <w:numId w:val="3"/>
        </w:numPr>
      </w:pPr>
      <w:r w:rsidRPr="009D0C7C">
        <w:rPr>
          <w:sz w:val="24"/>
          <w:szCs w:val="24"/>
        </w:rPr>
        <w:t>and specify the gain-to-temperature ratio at beam peak, as required by Section 25.114(c)(4)(ii) of the Commission’s rules. </w:t>
      </w:r>
    </w:p>
    <w:p w:rsidR="00B857A7" w:rsidRPr="009D0C7C" w:rsidRDefault="009D0C7C" w:rsidP="009D0C7C">
      <w:pPr>
        <w:rPr>
          <w:rFonts w:ascii="Times New Roman" w:hAnsi="Times New Roman"/>
        </w:rPr>
      </w:pPr>
      <w:r w:rsidRPr="009D0C7C">
        <w:rPr>
          <w:rFonts w:ascii="Times New Roman" w:hAnsi="Times New Roman"/>
          <w:color w:val="FF0000"/>
          <w:sz w:val="24"/>
          <w:szCs w:val="24"/>
        </w:rPr>
        <w:t>Response: The G/T at beam peak is shown in S7 item o.</w:t>
      </w:r>
      <w:r w:rsidR="00B857A7" w:rsidRPr="009D0C7C">
        <w:rPr>
          <w:rFonts w:ascii="Times New Roman" w:hAnsi="Times New Roman"/>
          <w:sz w:val="24"/>
          <w:szCs w:val="24"/>
        </w:rPr>
        <w:t xml:space="preserve"> </w:t>
      </w:r>
    </w:p>
    <w:p w:rsidR="00B857A7" w:rsidRPr="009D0C7C" w:rsidRDefault="00B857A7" w:rsidP="00B857A7">
      <w:pPr>
        <w:pStyle w:val="ListParagraph"/>
        <w:numPr>
          <w:ilvl w:val="0"/>
          <w:numId w:val="3"/>
        </w:numPr>
      </w:pPr>
      <w:r w:rsidRPr="009D0C7C">
        <w:rPr>
          <w:sz w:val="24"/>
          <w:szCs w:val="24"/>
        </w:rPr>
        <w:t>For receiving beams fed into transponders, also specify the minimum and maximum saturation flux density at beam peak as required by Section 25.114(c)(4)(v) of the Commission’s rules.</w:t>
      </w:r>
    </w:p>
    <w:p w:rsidR="009D0C7C" w:rsidRPr="00CE540C" w:rsidRDefault="009D0C7C" w:rsidP="009D0C7C">
      <w:pPr>
        <w:rPr>
          <w:rFonts w:ascii="Times New Roman" w:hAnsi="Times New Roman"/>
          <w:color w:val="FF0000"/>
          <w:sz w:val="24"/>
          <w:szCs w:val="24"/>
        </w:rPr>
      </w:pPr>
      <w:r w:rsidRPr="00CE540C">
        <w:rPr>
          <w:rFonts w:ascii="Times New Roman" w:hAnsi="Times New Roman"/>
          <w:color w:val="FF0000"/>
          <w:sz w:val="24"/>
          <w:szCs w:val="24"/>
        </w:rPr>
        <w:t>Response: For receive beams the min and max SFD are shown in S7 items p, q, and r</w:t>
      </w:r>
      <w:proofErr w:type="gramStart"/>
      <w:r w:rsidRPr="00CE540C">
        <w:rPr>
          <w:rFonts w:ascii="Times New Roman" w:hAnsi="Times New Roman"/>
          <w:color w:val="FF0000"/>
          <w:sz w:val="24"/>
          <w:szCs w:val="24"/>
        </w:rPr>
        <w:t>.</w:t>
      </w:r>
      <w:r w:rsidR="008B72CE">
        <w:rPr>
          <w:rFonts w:ascii="Times New Roman" w:hAnsi="Times New Roman"/>
          <w:color w:val="FF0000"/>
          <w:sz w:val="24"/>
          <w:szCs w:val="24"/>
        </w:rPr>
        <w:t xml:space="preserve">  This</w:t>
      </w:r>
      <w:proofErr w:type="gramEnd"/>
      <w:r w:rsidR="008B72CE">
        <w:rPr>
          <w:rFonts w:ascii="Times New Roman" w:hAnsi="Times New Roman"/>
          <w:color w:val="FF0000"/>
          <w:sz w:val="24"/>
          <w:szCs w:val="24"/>
        </w:rPr>
        <w:t xml:space="preserve"> data is also included in the Additional Technical Information document item 4.</w:t>
      </w:r>
    </w:p>
    <w:p w:rsidR="00B857A7" w:rsidRPr="009D0C7C" w:rsidRDefault="00B857A7" w:rsidP="00B857A7">
      <w:pPr>
        <w:snapToGrid w:val="0"/>
        <w:rPr>
          <w:rFonts w:ascii="Times New Roman" w:hAnsi="Times New Roman"/>
          <w:sz w:val="24"/>
          <w:szCs w:val="24"/>
        </w:rPr>
      </w:pPr>
    </w:p>
    <w:p w:rsidR="00B857A7" w:rsidRPr="009D0C7C" w:rsidRDefault="00B857A7" w:rsidP="00B857A7">
      <w:pPr>
        <w:snapToGrid w:val="0"/>
        <w:ind w:left="720"/>
        <w:rPr>
          <w:rFonts w:ascii="Times New Roman" w:hAnsi="Times New Roman"/>
        </w:rPr>
      </w:pPr>
      <w:r w:rsidRPr="009D0C7C">
        <w:rPr>
          <w:rFonts w:ascii="Times New Roman" w:hAnsi="Times New Roman"/>
          <w:sz w:val="24"/>
          <w:szCs w:val="24"/>
        </w:rPr>
        <w:t> </w:t>
      </w:r>
    </w:p>
    <w:p w:rsidR="00B857A7" w:rsidRPr="00852015" w:rsidRDefault="00B857A7" w:rsidP="00B857A7">
      <w:pPr>
        <w:numPr>
          <w:ilvl w:val="0"/>
          <w:numId w:val="1"/>
        </w:numPr>
        <w:snapToGrid w:val="0"/>
        <w:rPr>
          <w:rFonts w:ascii="Times New Roman" w:hAnsi="Times New Roman"/>
        </w:rPr>
      </w:pPr>
      <w:r w:rsidRPr="009D0C7C">
        <w:rPr>
          <w:rFonts w:ascii="Times New Roman" w:hAnsi="Times New Roman"/>
          <w:sz w:val="24"/>
          <w:szCs w:val="24"/>
        </w:rPr>
        <w:lastRenderedPageBreak/>
        <w:t>HPT must specify predicted space station antenna gain contour(s) for each transmit and receive antenna beam in item S6(C) of Schedule S, as required by Sections 25.114(c)(4)(v), 25.114(c)(4)(vi), and 25.114(c)(4)(vii) of the Commission’s rules.</w:t>
      </w:r>
    </w:p>
    <w:p w:rsidR="00852015" w:rsidRPr="00852015" w:rsidRDefault="00852015" w:rsidP="00852015">
      <w:pPr>
        <w:snapToGrid w:val="0"/>
        <w:rPr>
          <w:rFonts w:ascii="Times New Roman" w:hAnsi="Times New Roman"/>
          <w:color w:val="FF0000"/>
        </w:rPr>
      </w:pPr>
      <w:r>
        <w:rPr>
          <w:rFonts w:ascii="Times New Roman" w:hAnsi="Times New Roman"/>
          <w:color w:val="FF0000"/>
          <w:sz w:val="24"/>
          <w:szCs w:val="24"/>
        </w:rPr>
        <w:t xml:space="preserve">Response:  </w:t>
      </w:r>
      <w:r w:rsidR="00CE540C">
        <w:rPr>
          <w:rFonts w:ascii="Times New Roman" w:hAnsi="Times New Roman"/>
          <w:color w:val="FF0000"/>
          <w:sz w:val="24"/>
          <w:szCs w:val="24"/>
        </w:rPr>
        <w:t>The antenna gain contours for the transmit and receive antenna beams have been included in the schedule S.  Also, attached to this filing are the individual GXT files as well as pdf copies of these beams.</w:t>
      </w:r>
      <w:r w:rsidR="006135FF">
        <w:rPr>
          <w:rFonts w:ascii="Times New Roman" w:hAnsi="Times New Roman"/>
          <w:color w:val="FF0000"/>
          <w:sz w:val="24"/>
          <w:szCs w:val="24"/>
        </w:rPr>
        <w:t xml:space="preserve">  The Service Area Beams, required in Section S6, are also included in pdf form. </w:t>
      </w:r>
    </w:p>
    <w:p w:rsidR="00B857A7" w:rsidRPr="009D0C7C" w:rsidRDefault="00B857A7" w:rsidP="00B857A7">
      <w:pPr>
        <w:pStyle w:val="ListParagraph"/>
      </w:pPr>
      <w:r w:rsidRPr="009D0C7C">
        <w:rPr>
          <w:sz w:val="24"/>
          <w:szCs w:val="24"/>
        </w:rPr>
        <w:t> </w:t>
      </w:r>
    </w:p>
    <w:p w:rsidR="00FD2906" w:rsidRPr="009D0C7C" w:rsidRDefault="00FD2906">
      <w:pPr>
        <w:rPr>
          <w:rFonts w:ascii="Times New Roman" w:hAnsi="Times New Roman"/>
        </w:rPr>
      </w:pPr>
    </w:p>
    <w:sectPr w:rsidR="00FD2906" w:rsidRPr="009D0C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63971"/>
    <w:multiLevelType w:val="hybridMultilevel"/>
    <w:tmpl w:val="E8362068"/>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7C2F7C3B"/>
    <w:multiLevelType w:val="hybridMultilevel"/>
    <w:tmpl w:val="7922B3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7A7"/>
    <w:rsid w:val="00033493"/>
    <w:rsid w:val="0025405C"/>
    <w:rsid w:val="004205A9"/>
    <w:rsid w:val="006135FF"/>
    <w:rsid w:val="00840251"/>
    <w:rsid w:val="00852015"/>
    <w:rsid w:val="008B72CE"/>
    <w:rsid w:val="009D0C7C"/>
    <w:rsid w:val="009D3001"/>
    <w:rsid w:val="00B857A7"/>
    <w:rsid w:val="00CE540C"/>
    <w:rsid w:val="00DA0950"/>
    <w:rsid w:val="00E57FFB"/>
    <w:rsid w:val="00F854D9"/>
    <w:rsid w:val="00FD2906"/>
    <w:rsid w:val="00FD3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87F350-0E24-4BE1-B74D-4CF14328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7A7"/>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57A7"/>
    <w:pPr>
      <w:snapToGrid w:val="0"/>
      <w:ind w:left="72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594337">
      <w:bodyDiv w:val="1"/>
      <w:marLeft w:val="0"/>
      <w:marRight w:val="0"/>
      <w:marTop w:val="0"/>
      <w:marBottom w:val="0"/>
      <w:divBdr>
        <w:top w:val="none" w:sz="0" w:space="0" w:color="auto"/>
        <w:left w:val="none" w:sz="0" w:space="0" w:color="auto"/>
        <w:bottom w:val="none" w:sz="0" w:space="0" w:color="auto"/>
        <w:right w:val="none" w:sz="0" w:space="0" w:color="auto"/>
      </w:divBdr>
    </w:div>
    <w:div w:id="1349911648">
      <w:bodyDiv w:val="1"/>
      <w:marLeft w:val="0"/>
      <w:marRight w:val="0"/>
      <w:marTop w:val="0"/>
      <w:marBottom w:val="0"/>
      <w:divBdr>
        <w:top w:val="none" w:sz="0" w:space="0" w:color="auto"/>
        <w:left w:val="none" w:sz="0" w:space="0" w:color="auto"/>
        <w:bottom w:val="none" w:sz="0" w:space="0" w:color="auto"/>
        <w:right w:val="none" w:sz="0" w:space="0" w:color="auto"/>
      </w:divBdr>
    </w:div>
    <w:div w:id="171005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ken@skjeitelecom.com</dc:creator>
  <cp:keywords/>
  <dc:description/>
  <cp:lastModifiedBy>ken@skjeitelecom.com</cp:lastModifiedBy>
  <cp:revision>3</cp:revision>
  <dcterms:created xsi:type="dcterms:W3CDTF">2016-06-02T21:40:00Z</dcterms:created>
  <dcterms:modified xsi:type="dcterms:W3CDTF">2016-06-02T21:51:00Z</dcterms:modified>
</cp:coreProperties>
</file>